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right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"/>
          <w:sz w:val="32"/>
          <w:szCs w:val="32"/>
        </w:rPr>
        <w:t xml:space="preserve">附件 </w:t>
      </w:r>
      <w:r>
        <w:rPr>
          <w:rFonts w:hint="eastAsia" w:ascii="仿宋_GB2312" w:hAnsi="仿宋_GB2312" w:eastAsia="仿宋_GB2312" w:cs="仿宋_GB2312"/>
          <w:b/>
          <w:bCs/>
          <w:spacing w:val="-1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9"/>
          <w:sz w:val="36"/>
          <w:szCs w:val="36"/>
        </w:rPr>
        <w:t>“挑战杯”全国大学生课外学术科技作品竞赛章</w:t>
      </w:r>
      <w:r>
        <w:rPr>
          <w:rFonts w:hint="eastAsia" w:ascii="宋体" w:hAnsi="宋体" w:eastAsia="宋体" w:cs="宋体"/>
          <w:spacing w:val="7"/>
          <w:sz w:val="36"/>
          <w:szCs w:val="36"/>
        </w:rPr>
        <w:t>程</w:t>
      </w:r>
    </w:p>
    <w:p>
      <w:pPr>
        <w:keepNext w:val="0"/>
        <w:keepLines w:val="0"/>
        <w:pageBreakBefore w:val="0"/>
        <w:widowControl w:val="0"/>
        <w:tabs>
          <w:tab w:val="left" w:pos="38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48"/>
          <w:sz w:val="36"/>
          <w:szCs w:val="36"/>
        </w:rPr>
        <w:t>(</w:t>
      </w:r>
      <w:r>
        <w:rPr>
          <w:rFonts w:hint="eastAsia" w:ascii="宋体" w:hAnsi="宋体" w:eastAsia="宋体" w:cs="宋体"/>
          <w:spacing w:val="46"/>
          <w:sz w:val="36"/>
          <w:szCs w:val="36"/>
        </w:rPr>
        <w:t>试行)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0" w:firstLineChars="0"/>
        <w:jc w:val="center"/>
        <w:textAlignment w:val="auto"/>
        <w:rPr>
          <w:rFonts w:hint="eastAsia" w:ascii="楷体" w:hAnsi="楷体" w:eastAsia="楷体" w:cs="楷体"/>
          <w:spacing w:val="4"/>
          <w:sz w:val="32"/>
          <w:szCs w:val="32"/>
        </w:rPr>
      </w:pPr>
      <w:r>
        <w:rPr>
          <w:rFonts w:hint="eastAsia" w:ascii="楷体" w:hAnsi="楷体" w:eastAsia="楷体" w:cs="楷体"/>
          <w:spacing w:val="8"/>
          <w:sz w:val="32"/>
          <w:szCs w:val="32"/>
        </w:rPr>
        <w:t>(经第</w:t>
      </w:r>
      <w:r>
        <w:rPr>
          <w:rFonts w:hint="eastAsia" w:ascii="楷体" w:hAnsi="楷体" w:eastAsia="楷体" w:cs="楷体"/>
          <w:spacing w:val="6"/>
          <w:sz w:val="32"/>
          <w:szCs w:val="32"/>
        </w:rPr>
        <w:t>十</w:t>
      </w:r>
      <w:r>
        <w:rPr>
          <w:rFonts w:hint="eastAsia" w:ascii="楷体" w:hAnsi="楷体" w:eastAsia="楷体" w:cs="楷体"/>
          <w:spacing w:val="4"/>
          <w:sz w:val="32"/>
          <w:szCs w:val="32"/>
        </w:rPr>
        <w:t>七届“挑战杯”竞赛组委会第一次全体会议通过)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pacing w:val="6"/>
          <w:position w:val="1"/>
          <w:sz w:val="32"/>
          <w:szCs w:val="32"/>
        </w:rPr>
        <w:t>一章  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一条  “挑战杯”全国大学生课外学术科技作品竞赛是由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共青团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中央、中国科协、教育部、中国社会科学院、全国学联、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省</w:t>
      </w:r>
      <w:r>
        <w:rPr>
          <w:rFonts w:hint="eastAsia" w:ascii="仿宋_GB2312" w:hAnsi="仿宋_GB2312" w:eastAsia="仿宋_GB2312" w:cs="仿宋_GB2312"/>
          <w:spacing w:val="17"/>
          <w:sz w:val="28"/>
          <w:szCs w:val="28"/>
        </w:rPr>
        <w:t>级人民政府主办的大学生课外学术科技活动中一项具有导向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性、示范性和群众性的竞赛活动，每两年举办一届。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二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条  竞赛的宗旨：崇尚科学、追求真知、勤奋学习、锐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意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创新、迎接挑战。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三条  竞赛的目的：引导和激励高校学生实事求是、刻苦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钻研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勇于创新、多出成果、提高素质，培养学生创新精神和实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践能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力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，并在此基础上促进高校学生课外学术科技活动的蓬勃开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展，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发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现和培养一批在学术科技上有作为、有潜力的优秀人才。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鼓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励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学以致用，推动产学研融合互促，紧密围绕创新驱动发展战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略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，服务国家经济、政治、文化、社会、生态文明建设。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四条  竞赛的基本方式：高等学校在校学生申报自然科学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类学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术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论文、哲学社会科学类社会调查报告和学术论文、科技发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明制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作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三类作品参赛；聘请专家评定出具有较高学术理论水平、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实际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应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用价值和创新意义的优秀作品，给予奖励；组织学术交流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和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科技成果的展览、转让活动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第二章  组织机构及其职责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五条  竞赛设立领导小组，由主办单位和承办单位的有关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负责人组成，负责指导竞赛活动，并对全国组织委员会和全国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评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审委员会提交的问题进行协调和裁决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六条  竞赛设立全国组织委员会，由主办单位、承办单位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和联合发起单位(含高校、新闻单位、相关企业)的有关负责人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组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成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。主办单位和承办单位分别委派有关负责同志作为组委会成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员，各联合发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起单位推荐1名主管领导作为组委会成员。全国组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织委员会设主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任、副主任若干名。获得3次“挑战杯”的高校将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获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得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持续担任组委会副主任成员的资格。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6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七条  全国组织委员会的职责如下：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08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一) 审议、修改竞赛的章程；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2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>(二) 筹集竞赛组织、评审、奖励所需的经费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7"/>
          <w:sz w:val="28"/>
          <w:szCs w:val="28"/>
        </w:rPr>
        <w:t>三) 投票表决竞赛承办高校；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68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7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>四) 议决其它应由组委会议决的事项。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八条  全国组织委员会下设秘书处，负责按照全国组委会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通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过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的章程组织竞赛活动并向全国组委会报告工作。秘书处设秘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书长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副秘书长若干名，由主办单位、承办单位有关领导担任。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1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九条  竞赛设立全国评审委员会，由主办单位聘请的相关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学科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具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有高级职称的非高校专家或高科技企业的技术骨干组成。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全国评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秘书长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1名，副秘书长若干名。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审委员会设主任1名，常务副主任2名，副主任若干名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0" w:firstLineChars="200"/>
        <w:textAlignment w:val="auto"/>
        <w:rPr>
          <w:rFonts w:hint="eastAsia" w:ascii="仿宋_GB2312" w:hAnsi="仿宋_GB2312" w:eastAsia="仿宋_GB2312" w:cs="仿宋_GB2312"/>
          <w:spacing w:val="-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全国评审委员会经主办单位批准成立，有权在本章程和评审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规则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所规定的原则下，独立开展评审工作。评委须严格遵守《评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28"/>
          <w:szCs w:val="28"/>
        </w:rPr>
        <w:t>审</w:t>
      </w:r>
      <w:r>
        <w:rPr>
          <w:rFonts w:hint="eastAsia" w:ascii="仿宋_GB2312" w:hAnsi="仿宋_GB2312" w:eastAsia="仿宋_GB2312" w:cs="仿宋_GB2312"/>
          <w:spacing w:val="-7"/>
          <w:sz w:val="28"/>
          <w:szCs w:val="28"/>
        </w:rPr>
        <w:t>纪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律》，评审前须签订《评审纪律承诺书》。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8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第十条  全国评审委员会职责如下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0" w:firstLine="616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一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) 在本章程和评审规则基础上制定评审实施细则；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0" w:firstLine="68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30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9"/>
          <w:sz w:val="28"/>
          <w:szCs w:val="28"/>
        </w:rPr>
        <w:t>二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>) 终审决赛环节实行公开答辩制，答辩前评审委员可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以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到参赛作品集中展示区审看参赛作品及其演示；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0" w:firstLine="644" w:firstLineChars="200"/>
        <w:textAlignment w:val="auto"/>
        <w:rPr>
          <w:rFonts w:hint="eastAsia" w:ascii="仿宋_GB2312" w:hAnsi="仿宋_GB2312" w:eastAsia="仿宋_GB2312" w:cs="仿宋_GB2312"/>
          <w:spacing w:val="16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21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三) 确定参赛作品获奖等次。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7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十一条  竞赛设立作品资格评判委员会，在全国组委会第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二次全体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会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议召开时成立，由全国评审委员会常务副主任1名、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评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审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委员不少于3名(根据被评判作品学科分布选定)、主办单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位各1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名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代表、全国组织委员会高校委员中抽签产生的10名代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表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(每省份最多2名代表)组成。资格评判委员会主任由全国评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审委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员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会常务副主任担任。资格评判委员会会议由资格评判委员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会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主任负责召集。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16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十二条  作品资格评判委员会职责如下：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0"/>
          <w:sz w:val="28"/>
          <w:szCs w:val="28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授权全国组委会秘书处在预审开始至终审决赛结束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前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接受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参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赛学校和学生、评委、社会各界人士对参赛作品资格的质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疑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投诉；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rightChars="0" w:firstLine="600" w:firstLineChars="200"/>
        <w:textAlignment w:val="auto"/>
        <w:rPr>
          <w:rFonts w:hint="eastAsia" w:ascii="仿宋_GB2312" w:hAnsi="仿宋_GB2312" w:eastAsia="仿宋_GB2312" w:cs="仿宋_GB2312"/>
          <w:spacing w:val="5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  <w:lang w:val="en-US" w:eastAsia="zh-CN"/>
        </w:rPr>
        <w:t xml:space="preserve">二） 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在终审决赛结束前，如出现被质疑投诉作品，资格评判委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员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会应召开会议，对被质疑投诉的参赛作品的作者及所属学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校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进行质询；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rightChars="0" w:firstLine="664" w:firstLineChars="200"/>
        <w:textAlignment w:val="auto"/>
        <w:rPr>
          <w:rFonts w:hint="eastAsia" w:ascii="仿宋_GB2312" w:hAnsi="仿宋_GB2312" w:eastAsia="仿宋_GB2312" w:cs="仿宋_GB2312"/>
          <w:spacing w:val="1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6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三) 投票表决被质疑投诉作品是否具备参赛资格。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rightChars="0" w:firstLine="592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十三条  全国组委会秘书处对质疑投诉者的姓名、单位予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以保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密。质疑投诉者需提供相关证据或明确的线索。资格评判委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员会开会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时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，到会人数超过2/3方可进行表决；表决时实行回避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制度；若参加表决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人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数中有2/3以上认为该作品不具备参赛资格，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则评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委会对该作品不予评审，其参赛得分随之取消。全国组委会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秘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书处不受理匿名质疑投诉。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0" w:firstLineChars="200"/>
        <w:textAlignment w:val="auto"/>
        <w:rPr>
          <w:rFonts w:hint="eastAsia" w:ascii="仿宋_GB2312" w:hAnsi="仿宋_GB2312" w:eastAsia="仿宋_GB2312" w:cs="仿宋_GB2312"/>
          <w:spacing w:val="3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终审决赛结束后，对作品的质疑投诉继续按本章程第三十</w:t>
      </w:r>
      <w:r>
        <w:rPr>
          <w:rFonts w:hint="eastAsia" w:ascii="仿宋_GB2312" w:hAnsi="仿宋_GB2312" w:eastAsia="仿宋_GB2312" w:cs="仿宋_GB2312"/>
          <w:sz w:val="28"/>
          <w:szCs w:val="28"/>
        </w:rPr>
        <w:t>九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条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十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四条  竞赛设立评审监督委员会，在全国赛前成立，下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设秘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书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处。评审监督委员会依照《评审监督委员会章程》组织建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立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、行使职责。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十五条  主办单位根据团体总分优先原则，确定上届竞赛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总分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前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70名的学校为联合发起高校，并可根据终审决赛规模、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地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区平衡、学校类别及代表性、承办地区等因素作部分调整。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76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第十六条  各省(区、市)和新疆生产建设兵团、各高校</w:t>
      </w:r>
      <w:r>
        <w:rPr>
          <w:rFonts w:hint="eastAsia" w:ascii="仿宋_GB2312" w:hAnsi="仿宋_GB2312" w:eastAsia="仿宋_GB2312" w:cs="仿宋_GB2312"/>
          <w:sz w:val="28"/>
          <w:szCs w:val="28"/>
        </w:rPr>
        <w:t>应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举办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与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全国竞赛接轨的届次化的学生课外学术科技作品竞赛。各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省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(区、市)和新疆生产建设兵团团委、科协、教育部门、学联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联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合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设立省级组织协调委员会和评审委员会，负责本省份竞赛的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组织协调、参赛作品资格审查和作品初评等有关工作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第三章  参赛资格与作品申报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5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第十七条  凡在举办竞赛终审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决赛的当年6月1日以前正式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注册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全日制非成人教育的各类高等院校在校专科生、本科生、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硕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士研究生(不含在职研究生)都可申报作品参赛。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8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3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十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>八条  申报参赛的作品必须是距竞赛终审决赛当年6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月1日前两年内完成的学生课外学术科技或社会实践活动成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果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可分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个人作品和集体作品。申报个人作品的，申报者必须承担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申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>报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作品60％以上的研究工作，作品鉴定证书、专利证书及发表的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有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关作品上的署名均应为第一作者，合作者必须是学生且不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得超过2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人；凡作者超过3人的项目或者不超过3人，但无法区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分第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一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作者的项目，均须申报集体作品。集体作品的作者必须均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为学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生。凡有合作者的个人作品或集体作品，均按学历最高的作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者划分至本专科生或硕士研究生类进行评审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1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2"/>
          <w:sz w:val="28"/>
          <w:szCs w:val="28"/>
        </w:rPr>
        <w:t>增加作</w:t>
      </w:r>
      <w:r>
        <w:rPr>
          <w:rFonts w:hint="eastAsia" w:ascii="仿宋_GB2312" w:hAnsi="仿宋_GB2312" w:eastAsia="仿宋_GB2312" w:cs="仿宋_GB2312"/>
          <w:spacing w:val="-7"/>
          <w:sz w:val="28"/>
          <w:szCs w:val="28"/>
        </w:rPr>
        <w:t>品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自查环节，申报学校签订承诺书，承诺作品符合“挑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战杯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竞赛申报作品的要求，接受竞赛组委会检查。对不符合申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报要求或严重违规作品的惩戒措施详见第六章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56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本校硕博连读生(直博生)若在决赛当年6月1日以</w:t>
      </w:r>
      <w:r>
        <w:rPr>
          <w:rFonts w:hint="eastAsia" w:ascii="仿宋_GB2312" w:hAnsi="仿宋_GB2312" w:eastAsia="仿宋_GB2312" w:cs="仿宋_GB2312"/>
          <w:sz w:val="28"/>
          <w:szCs w:val="28"/>
        </w:rPr>
        <w:t>前未通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过博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士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资格考试的，可以按硕士生学历申报作品。没有实行资格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考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试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制度的学校，前两年可以按硕士学历申报作品。本硕博连读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生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，按照四年、二年分别对应本、硕申报，后续则不可申报。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毕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业设计和课程设计(论文)、学年论文和学位论文、国际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竞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赛中获奖的作品、获国家级奖励成果(含本竞赛主办单位参与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举办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其它全国性竞赛的获奖作品)等均不在申报范围之列。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十九条  申报参赛的作品分为自然科学类学术论文、哲学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社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会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科学类社会调查报告和学术论文、科技发明制作三类。自然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科学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类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学术论文作者限本专科生。哲学社会科学类支持围绕发展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成就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文明文化、美丽中国、民生福祉、中国之治和战疫行动等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6个组别形成社会调查报告，也可以按照哲学、经济、社会、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法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律、教育、管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理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6个学科报送社会调查报告和学术论文。科技发明制作类分为</w:t>
      </w:r>
      <w:r>
        <w:rPr>
          <w:rFonts w:hint="eastAsia" w:ascii="仿宋_GB2312" w:hAnsi="仿宋_GB2312" w:eastAsia="仿宋_GB2312" w:cs="仿宋_GB2312"/>
          <w:sz w:val="28"/>
          <w:szCs w:val="28"/>
        </w:rPr>
        <w:t>A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B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两类：</w:t>
      </w:r>
      <w:r>
        <w:rPr>
          <w:rFonts w:hint="eastAsia" w:ascii="仿宋_GB2312" w:hAnsi="仿宋_GB2312" w:eastAsia="仿宋_GB2312" w:cs="仿宋_GB2312"/>
          <w:sz w:val="28"/>
          <w:szCs w:val="28"/>
        </w:rPr>
        <w:t>A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类指科技含量较高、制作投入较大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作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品；</w:t>
      </w:r>
      <w:r>
        <w:rPr>
          <w:rFonts w:hint="eastAsia" w:ascii="仿宋_GB2312" w:hAnsi="仿宋_GB2312" w:eastAsia="仿宋_GB2312" w:cs="仿宋_GB2312"/>
          <w:sz w:val="28"/>
          <w:szCs w:val="28"/>
        </w:rPr>
        <w:t>B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类指投入较少，且为生产技术或社会生活带来便利的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小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发明、小制作等。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二十条  参赛作品涉及下列内容时，必须由申报者提供有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关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部门的证明材料，否则不予评审：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一) 动植物新品种的发现或培育，须有省级以上农科部门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或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科研院所开具证明；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(二) 对国家保护动植物的研究，须有省级以上林业部门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开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具证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明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，证明该项研究的过程中未产生对所研究的动植物繁衍、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生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长不利的影响；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36" w:firstLineChars="200"/>
        <w:textAlignment w:val="auto"/>
        <w:rPr>
          <w:rFonts w:hint="eastAsia" w:ascii="仿宋_GB2312" w:hAnsi="仿宋_GB2312" w:eastAsia="仿宋_GB2312" w:cs="仿宋_GB2312"/>
          <w:spacing w:val="13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9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三)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新药物的研究须有卫生行政部门授权机构的鉴定证明；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08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四) 医疗卫生研究须通过专家鉴定，并最好附有在公开发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行的专业性杂志上发表过的文章；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8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2"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五)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涉及燃气用具等与人民生命财产安全有关用具的研究，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须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有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国家相应行政部门授权机构的认定证明。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二十一条  参赛作品必须于申报前将作品项目名称、参赛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学生和指导教师等关键信息在学校官方网站主页上进行不少于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天的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公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示，并将公示截图随作品一同报送。多个学校学生合作申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报的项目，须注明学生、学校信息并在学生所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在学校均进行公示。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二十二条  参赛作品必须由两名具有高级专业技术职称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指导教师 (或教研组)推荐，经本校学籍管理、教务、科研管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理部门审核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确认。每件作品可由不超过3名教师指导完成。作品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完成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全国竞赛申报后，作品题目、作者、指导教师等关键信息不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得变动。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24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二十三条  每个学校选送参加竞赛的作品总数不得超过</w:t>
      </w:r>
      <w:r>
        <w:rPr>
          <w:rFonts w:hint="eastAsia" w:ascii="仿宋_GB2312" w:hAnsi="仿宋_GB2312" w:eastAsia="仿宋_GB2312" w:cs="仿宋_GB2312"/>
          <w:spacing w:val="18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18"/>
          <w:sz w:val="28"/>
          <w:szCs w:val="28"/>
        </w:rPr>
        <w:t>件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，每人限报1件，作品中研究生的作品不得超过作品总数的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1/2，如研究生作品数超过比例要求，违反规定的，取消该校所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有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研究生作品参赛资格且不得补报，但如学校只招收研究生的，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或只有1件作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品参加全国竞赛的，不受作品比例限制。参赛作品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21"/>
          <w:sz w:val="28"/>
          <w:szCs w:val="28"/>
        </w:rPr>
        <w:t>须</w:t>
      </w:r>
      <w:r>
        <w:rPr>
          <w:rFonts w:hint="eastAsia" w:ascii="仿宋_GB2312" w:hAnsi="仿宋_GB2312" w:eastAsia="仿宋_GB2312" w:cs="仿宋_GB2312"/>
          <w:spacing w:val="17"/>
          <w:sz w:val="28"/>
          <w:szCs w:val="28"/>
        </w:rPr>
        <w:t>经过本省份组织协调委员会进行资格及形式审查和本省份评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审委员会初步评定，方可上报全国组委会办公室。各省</w:t>
      </w:r>
      <w:r>
        <w:rPr>
          <w:rFonts w:hint="eastAsia" w:ascii="仿宋_GB2312" w:hAnsi="仿宋_GB2312" w:eastAsia="仿宋_GB2312" w:cs="仿宋_GB2312"/>
          <w:sz w:val="28"/>
          <w:szCs w:val="28"/>
        </w:rPr>
        <w:t>(区、市)</w:t>
      </w:r>
      <w:r>
        <w:rPr>
          <w:rFonts w:hint="eastAsia" w:ascii="仿宋_GB2312" w:hAnsi="仿宋_GB2312" w:eastAsia="仿宋_GB2312" w:cs="仿宋_GB2312"/>
          <w:spacing w:val="21"/>
          <w:sz w:val="28"/>
          <w:szCs w:val="28"/>
        </w:rPr>
        <w:t>和</w:t>
      </w:r>
      <w:r>
        <w:rPr>
          <w:rFonts w:hint="eastAsia" w:ascii="仿宋_GB2312" w:hAnsi="仿宋_GB2312" w:eastAsia="仿宋_GB2312" w:cs="仿宋_GB2312"/>
          <w:spacing w:val="17"/>
          <w:sz w:val="28"/>
          <w:szCs w:val="28"/>
        </w:rPr>
        <w:t>新疆生产建设兵团选送全国竞赛的作品数额由主办单位统一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确定。每所发起学校可直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接报送3件作品 (含在6件作品之中)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参加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全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国竞赛。每所优秀组织奖或进步显著奖获得学校可直接报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送</w:t>
      </w:r>
      <w:r>
        <w:rPr>
          <w:rFonts w:hint="eastAsia" w:ascii="仿宋_GB2312" w:hAnsi="仿宋_GB2312" w:eastAsia="仿宋_GB2312" w:cs="仿宋_GB2312"/>
          <w:sz w:val="28"/>
          <w:szCs w:val="28"/>
        </w:rPr>
        <w:t>1件作品(含在6件作品之中)参加全国竞赛。直通全国竞赛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渠道不做累加。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第四章  展览、交流、转让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二十四条  全国评审委员会推荐通过预审的一定比例的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自然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科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学类学术论文、哲学社会科学类社会调查报告和学术论文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及全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部科技发明制作类作品参加展览。科技发明制作类作品须有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实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物或模型参展。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二十五条  全国组委会将在竞赛的终审决赛阶段组织多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种形式的学术交流和工作交流活动，并适时举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办专项赛、展示赛、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邀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请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赛等丰富“挑战杯”竞赛的活动。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二十六条  全国组织委员会在终审决赛期间，举办成果转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让活动；成果是否转让不作为作品评审获奖的依据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二十七条  全国组织委员会拥有组织转让获奖作品的优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先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权。成果产权及利益分配由学校和作者协商确定。全国组织委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员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会可结集出版竞赛获奖作品及评委评语。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  <w:lang w:val="en-US" w:eastAsia="zh-CN"/>
        </w:rPr>
        <w:t xml:space="preserve">第五章 </w:t>
      </w: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7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二十八条  参赛的自然科学类学术论文、哲学社会科学类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社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会调查报告和学术论文、科技发明制作三类作品各设特等奖、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一等奖、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二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等奖、三等奖。各等次奖分别约占各类入围作品总数</w:t>
      </w:r>
      <w:r>
        <w:rPr>
          <w:rFonts w:hint="eastAsia" w:ascii="仿宋_GB2312" w:hAnsi="仿宋_GB2312" w:eastAsia="仿宋_GB2312" w:cs="仿宋_GB2312"/>
          <w:spacing w:val="-8"/>
          <w:sz w:val="28"/>
          <w:szCs w:val="28"/>
        </w:rPr>
        <w:t>的3% 、8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% 、24%和65%。本专科生、硕士研究生两个学历层次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作者的作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品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获奖数与其入围作品数成正比例。科技发明制作类中</w:t>
      </w:r>
      <w:r>
        <w:rPr>
          <w:rFonts w:hint="eastAsia" w:ascii="仿宋_GB2312" w:hAnsi="仿宋_GB2312" w:eastAsia="仿宋_GB2312" w:cs="仿宋_GB2312"/>
          <w:sz w:val="28"/>
          <w:szCs w:val="28"/>
        </w:rPr>
        <w:t>A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类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和</w:t>
      </w:r>
      <w:r>
        <w:rPr>
          <w:rFonts w:hint="eastAsia" w:ascii="仿宋_GB2312" w:hAnsi="仿宋_GB2312" w:eastAsia="仿宋_GB2312" w:cs="仿宋_GB2312"/>
          <w:sz w:val="28"/>
          <w:szCs w:val="28"/>
        </w:rPr>
        <w:t>B</w:t>
      </w: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类作品分别按上述比例设奖。全国评审委员会对各省</w:t>
      </w:r>
      <w:r>
        <w:rPr>
          <w:rFonts w:hint="eastAsia" w:ascii="仿宋_GB2312" w:hAnsi="仿宋_GB2312" w:eastAsia="仿宋_GB2312" w:cs="仿宋_GB2312"/>
          <w:spacing w:val="26"/>
          <w:sz w:val="28"/>
          <w:szCs w:val="28"/>
        </w:rPr>
        <w:t>级</w:t>
      </w:r>
      <w:r>
        <w:rPr>
          <w:rFonts w:hint="eastAsia" w:ascii="仿宋_GB2312" w:hAnsi="仿宋_GB2312" w:eastAsia="仿宋_GB2312" w:cs="仿宋_GB2312"/>
          <w:spacing w:val="17"/>
          <w:sz w:val="28"/>
          <w:szCs w:val="28"/>
        </w:rPr>
        <w:t>组织协调委员会和发起高校报送的参赛作品进行预审，评出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80%左右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参赛作品入围获奖作品，评出入围作品中的65%获得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三等奖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，其余35%进入终审决赛。在终审决赛中评出特等奖、一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等奖、二等奖。同时为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激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发学生参与基础学科、小众学科的热情，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终审决赛各分类小组</w:t>
      </w:r>
      <w:r>
        <w:rPr>
          <w:rFonts w:hint="eastAsia" w:ascii="仿宋_GB2312" w:hAnsi="仿宋_GB2312" w:eastAsia="仿宋_GB2312" w:cs="仿宋_GB2312"/>
          <w:sz w:val="28"/>
          <w:szCs w:val="28"/>
        </w:rPr>
        <w:t>原则上至少有1件特等奖和1件一等奖。预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审和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终审前，组委会根据作品数量等确定各分类小组授奖数量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二十九条  入围获奖的作品，确认资格有效的，由全国组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织委员会向作品颁发证书(证书须体现作者和指导老师姓名)。参加各省(区、市)和新疆生产建设兵团预赛的作品，确认资格有效而又未进入全国竞赛的，由各省(区、市)和新疆生产建设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兵团组织协调委员会向作品颁发证书(证书须体现作者和指导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老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师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姓名)。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三十条  竞赛以学校为单位计算参赛得分，团体总分按名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次排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列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，按位次公布。团体总分由“现场作品得分”和“校级赛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事组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织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得分”两部分组成。最高荣誉“挑战杯”为流动杯，授予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竞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赛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团体成绩最佳的学校，如遇团体总分并列第一，以获特等奖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的数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量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排序，以此类推至三等奖。设“优胜杯”若干，分别授予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除“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挑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战杯”获得高校之外团体总分前三十一名的其余学校，及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位列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本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省份第一名的高校中、除去团体总分前三十一名高校后排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名前十名的其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余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学校。累计3次获得“挑战杯”的学校，可永久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保存复制的“挑战杯”一座。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52" w:firstLineChars="200"/>
        <w:textAlignment w:val="auto"/>
        <w:rPr>
          <w:rFonts w:hint="eastAsia" w:ascii="仿宋_GB2312" w:hAnsi="仿宋_GB2312" w:eastAsia="仿宋_GB2312" w:cs="仿宋_GB2312"/>
          <w:spacing w:val="-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3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三十一条  各等次奖计分方法如下：特等奖作品每件计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0分，一等奖作品每件计70分，二等奖作品每件计40分，三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等奖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作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品每件计20分，上报至全国组委会但未通过预审的作品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每件计10分。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三十二条  校级赛事组织得分采取加分制，主要考察出台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激励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学生创新政策，联合教务、科研等部门举办校级赛事，校级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赛事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学校重视、指导教师积极参与、广泛覆盖学生、氛围营造及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宣传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高校上传有评委完整评语作品到竞赛网站等情况。全国组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织委员会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秘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书处负责制定《校级赛事组织得分实施细则》。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08" w:firstLineChars="200"/>
        <w:textAlignment w:val="auto"/>
        <w:rPr>
          <w:rFonts w:hint="eastAsia" w:ascii="仿宋_GB2312" w:hAnsi="仿宋_GB2312" w:eastAsia="仿宋_GB2312" w:cs="仿宋_GB2312"/>
          <w:spacing w:val="7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2"/>
          <w:sz w:val="28"/>
          <w:szCs w:val="28"/>
        </w:rPr>
        <w:t>第三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十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三条  竞赛设10个左右省级优秀组织奖和获得入围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作品高校数30%左右的高校优秀组织奖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，奖励在竞赛组织工作中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表现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突出的省份和高校。省级优秀组织奖由主办单位评定，报全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国组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织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委员会确认，主要考察联合教育、科技等部门举办省级赛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事，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省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级赛事高校参与率，省域内校级赛事举办情况，省域内赛事对学生的覆盖等情况。高校优秀组织奖由各省(区、市) 和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新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疆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生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产建设兵团组织协调委员会提名，主办单位评定后报全国组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织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委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员会确认，评选综合考虑校级赛事、专项赛事、科技创新活</w:t>
      </w:r>
      <w:r>
        <w:rPr>
          <w:rFonts w:hint="eastAsia" w:ascii="仿宋_GB2312" w:hAnsi="仿宋_GB2312" w:eastAsia="仿宋_GB2312" w:cs="仿宋_GB2312"/>
          <w:spacing w:val="13"/>
          <w:sz w:val="28"/>
          <w:szCs w:val="28"/>
        </w:rPr>
        <w:t>动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等的组织参与情况。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第三十四条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 xml:space="preserve"> 竞赛设5个左右省级进步显著奖和10个左右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高校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进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步显著奖，激励原本竞赛基础较为薄弱、取得显著进步的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省份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和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高校。进步显著奖由主办单位根据相邻届次竞赛成绩，综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合考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虑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团体总分、参赛高校数量、参赛作品数量等指标增幅情况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进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行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评定，报全国组织委员会确认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5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三十五条  为鼓励各高校对参赛项目进行持续支持与跟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踪培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育，推动竞赛由短期开展向日常活动的转变，提升竞赛育人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功能，竞赛设</w:t>
      </w: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立累进创新专项奖，奖给在过去2届全国竞赛中入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围获奖且在后续有较大创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新提升的作品。此外，在符合竞赛宗旨、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具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有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良好导向作用前提下，可联合社会有关方面设立、评选专项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lang w:val="en-US" w:eastAsia="zh-CN"/>
        </w:rPr>
        <w:t>奖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第六章  惩戒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36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第三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十六条  参赛作品存在舞弊、抄袭、作假，将国家课题、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教师科研成果包装成学生项目的，均视为严重违规行为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9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三十七条  参赛作品在公示环节，知情公众如发现作品不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符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合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申报要求或存在严重违规行为，各高校要严肃对待、一经查</w:t>
      </w: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实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取消作品参赛资格。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pacing w:val="9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三十八条  参赛作品如在参赛环节被检查或经举报核实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发现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作品不符合申报要求，取消作品参赛资格，该学校不得补报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作品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；被检查或经举报核实发现作品存在严重违规行为，取消作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品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参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赛资格，该学校不得补报作品，该学校团体总分为零，并取</w:t>
      </w: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消该学</w:t>
      </w:r>
      <w:r>
        <w:rPr>
          <w:rFonts w:hint="eastAsia" w:ascii="仿宋_GB2312" w:hAnsi="仿宋_GB2312" w:eastAsia="仿宋_GB2312" w:cs="仿宋_GB2312"/>
          <w:spacing w:val="-5"/>
          <w:sz w:val="28"/>
          <w:szCs w:val="28"/>
        </w:rPr>
        <w:t>校参评“挑战杯”、“优胜杯”及其他集体奖项的资格，视</w:t>
      </w:r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情节严重取消该学校下届联合发起单位资格或参赛资格。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584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三十九条  竞赛结束后，对获奖作品保留一个月的质疑投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诉期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若收到投诉，竞赛领导小组将委托主办单位有关部门进行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调查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经调查，如确认该作品资格不符者，取消该作品获得的奖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励，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重新计算作者所在学校团体总分及名次；如确认作品存在严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重违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规行为，该学校团体总分为零，取消该学校所获得的“挑战</w:t>
      </w: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杯”</w:t>
      </w:r>
      <w:r>
        <w:rPr>
          <w:rFonts w:hint="eastAsia" w:ascii="仿宋_GB2312" w:hAnsi="仿宋_GB2312" w:eastAsia="仿宋_GB2312" w:cs="仿宋_GB2312"/>
          <w:spacing w:val="-8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pacing w:val="-5"/>
          <w:sz w:val="28"/>
          <w:szCs w:val="28"/>
        </w:rPr>
        <w:t>“优胜杯”或其他集体奖项，视情节严重取消该学校下届联</w:t>
      </w:r>
      <w:r>
        <w:rPr>
          <w:rFonts w:hint="eastAsia" w:ascii="仿宋_GB2312" w:hAnsi="仿宋_GB2312" w:eastAsia="仿宋_GB2312" w:cs="仿宋_GB2312"/>
          <w:spacing w:val="14"/>
          <w:sz w:val="28"/>
          <w:szCs w:val="28"/>
        </w:rPr>
        <w:t>合发起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单位资格或参赛资格，并通报全国组织委员会成员单位。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position w:val="1"/>
          <w:sz w:val="32"/>
          <w:szCs w:val="32"/>
        </w:rPr>
        <w:t>第七章 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</w:t>
      </w:r>
      <w:r>
        <w:rPr>
          <w:rFonts w:hint="eastAsia" w:ascii="仿宋_GB2312" w:hAnsi="仿宋_GB2312" w:eastAsia="仿宋_GB2312" w:cs="仿宋_GB2312"/>
          <w:spacing w:val="16"/>
          <w:sz w:val="28"/>
          <w:szCs w:val="28"/>
        </w:rPr>
        <w:t>四十条  承办竞赛的高校应按当届组委会通过的申办办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法，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申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请承办下一届竞赛活动；获得历届“挑战杯”和“优胜杯”</w:t>
      </w:r>
      <w:r>
        <w:rPr>
          <w:rFonts w:hint="eastAsia" w:ascii="仿宋_GB2312" w:hAnsi="仿宋_GB2312" w:eastAsia="仿宋_GB2312" w:cs="仿宋_GB2312"/>
          <w:spacing w:val="10"/>
          <w:sz w:val="28"/>
          <w:szCs w:val="28"/>
        </w:rPr>
        <w:t>的学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校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具有承办下届竞赛的优先权；当届组委会通过一定的民主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程序产生下届承办单位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2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第四十一条 竞赛承办单位有权以全国组织委员会名寻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val="en-US" w:eastAsia="zh-CN"/>
        </w:rPr>
        <w:t>求赞助。最高荣誉“挑战杯”不得用于寻求赞助。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2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val="en-US" w:eastAsia="zh-CN"/>
        </w:rPr>
        <w:t>第四十二条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 xml:space="preserve">  http://www.tiaozhanbei.net/为“挑战杯”竞赛专用网站，由主办单位和承办单位共同建设。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20"/>
          <w:sz w:val="28"/>
          <w:szCs w:val="28"/>
          <w:lang w:eastAsia="zh-CN"/>
        </w:rPr>
        <w:sectPr>
          <w:pgSz w:w="11906" w:h="16839"/>
          <w:pgMar w:top="1431" w:right="1212" w:bottom="0" w:left="1542" w:header="0" w:footer="0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>第四十三条  本章程自全国组织委员会审议通过之日起生效，由竞赛主办单位及全国组委会秘书处负责解释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tabs>
          <w:tab w:val="left" w:pos="170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right="0"/>
        <w:textAlignment w:val="auto"/>
        <w:rPr>
          <w:rFonts w:ascii="Times New Roman" w:eastAsia="Times New Roman"/>
        </w:rPr>
        <w:sectPr>
          <w:pgSz w:w="11910" w:h="16840"/>
          <w:pgMar w:top="1580" w:right="1200" w:bottom="1580" w:left="1480" w:header="0" w:footer="1384" w:gutter="0"/>
          <w:cols w:space="720" w:num="1"/>
        </w:sectPr>
      </w:pPr>
    </w:p>
    <w:p>
      <w:pPr>
        <w:spacing w:line="487" w:lineRule="atLeast"/>
        <w:rPr>
          <w:rFonts w:hint="eastAsia"/>
        </w:rPr>
      </w:pPr>
    </w:p>
    <w:p>
      <w:pPr>
        <w:spacing w:line="460" w:lineRule="exact"/>
        <w:jc w:val="center"/>
        <w:rPr>
          <w:rFonts w:hint="default"/>
          <w:lang w:val="en-US" w:eastAsia="zh-CN"/>
        </w:rPr>
      </w:pPr>
      <w:r>
        <w:br w:type="page"/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